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Společná zpráva výborů k zákonu o advokacii</w:t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tisk ČNR č. 2016</w:t>
      </w:r>
    </w:p>
    <w:p>
      <w:pPr>
        <w:pStyle w:val="Normal"/>
        <w:jc w:val="center"/>
        <w:rPr>
          <w:rStyle w:val="Internetovodkaz"/>
        </w:rPr>
      </w:pPr>
      <w:hyperlink r:id="rId2">
        <w:r>
          <w:rPr>
            <w:rStyle w:val="Internetovodkaz"/>
          </w:rPr>
          <w:t>http://www.psp.cz/eknih/1986cnr/tisky/t0216_00.htm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shd w:fill="FFFFFF" w:val="clear"/>
        <w:spacing w:lineRule="auto" w:line="240" w:before="0" w:after="240"/>
        <w:jc w:val="center"/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  <w:t>ČESKÁ NÁRODNÍ RADA 1990</w:t>
      </w:r>
    </w:p>
    <w:p>
      <w:pPr>
        <w:pStyle w:val="Normal"/>
        <w:shd w:fill="FFFFFF" w:val="clear"/>
        <w:spacing w:lineRule="auto" w:line="240" w:before="0" w:after="240"/>
        <w:jc w:val="center"/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  <w:t>V. volební období</w:t>
      </w:r>
    </w:p>
    <w:p>
      <w:pPr>
        <w:pStyle w:val="Normal"/>
        <w:shd w:fill="FFFFFF" w:val="clear"/>
        <w:spacing w:lineRule="auto" w:line="240" w:before="0" w:after="240"/>
        <w:jc w:val="center"/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  <w:t>216</w:t>
      </w:r>
    </w:p>
    <w:p>
      <w:pPr>
        <w:pStyle w:val="Normal"/>
        <w:shd w:fill="FFFFFF" w:val="clear"/>
        <w:spacing w:lineRule="auto" w:line="240" w:before="0" w:after="240"/>
        <w:jc w:val="center"/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  <w:t>Společná zpráva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výborů České národní rady k návrhu skupiny poslanců České národní rady na vydání zákona České národní rady o advokacii (tisk 201) ve znění úplného znění návrhu zákona ČNR o advokacii (tisk 201a)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Všechny výbory České národní rady (kromě mandátového a imunitního) projednaly na svých schůzích v dubnu 1990 návrh skupiny poslanců České národní rady na vydání zákona České národní o advokacii (tisk 201) ve znění úplného znění návrhu zákona ČNR o advokacii (tisk 201a).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Po projednání výbory doporučují, aby Česká národní rada, předložený návrh zákona České národní rady </w:t>
      </w: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cs-CZ"/>
        </w:rPr>
        <w:t>schválila </w:t>
      </w: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s těmito připomínkami: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1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v první větě vložit za slova "je poskytování právní moci" slovo "provozované",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1 odst. 3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slova "podle zvláštních předpisů" nahradit slovy "podle jiných předpisy",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3 odst. 1 písm. b)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slova "v Československé federativní republice" nahradit slovy "v České a Slovenské Federativní Republice",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3 odst. 1 písm. f)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slovo "Ústavu" napsat malým písmenem,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3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za odst. 1 vložit nový odstavec 2 tohoto znění: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"(2) Komora zapíše do dvou měsíců od doručení písemné žádosti a po složení slibu (odstavec 1 písm. f) do seznamu advokátů též profesory a docenty v oboru právo vysokých škol v České republice.",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dosavadní odstavec 2 přečíslovat na odstavec 3,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3 nový odst. 3 písm. a)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za slova "jinou placenou činnost" vložit slova "neslučitelnou s výkonem advokacie",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7 odst. 1 písm. a)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za slova "jinou placenou činnost" vložit slova "neslučitelnou s výkonem advokacie",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§ 12 odst. 4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upravit takto: "(4) Zastoupení podle odstavců 1 a 2 není možné proti vůli klienta.",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13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slovo "Ústavou" napsat malým písmenem a vypustit slova "vydanými k jejich provedení",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§ 19 odst. 3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upravit takto: "(3) Povinnost mlčenlivosti je povinen zachovat i ten, kdo byl vyškrtnut ze seznamu advokátů nebo ten, jemuž byl výkon advokacie pozastaven.",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v § 30 písm. b)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slova "v Československé federativní republice" nahradit slovy "v České a Slovenské Federativní Republice",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u w:val="single"/>
          <w:lang w:eastAsia="cs-CZ"/>
        </w:rPr>
        <w:t>§ 43</w:t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upravit takto: "Advokáti, kteří jsou ke dni nabytí účinnosti tohoto zákona členy krajských sdružení advokátů a Městského sdružení advokátů v Praze, jsou advokáty podle tohoto zákona a Komora je zapíše do seznamu advokátů bez žádosti.".</w:t>
      </w:r>
    </w:p>
    <w:p>
      <w:pPr>
        <w:pStyle w:val="Normal"/>
        <w:shd w:fill="FFFFFF" w:val="clear"/>
        <w:spacing w:lineRule="auto" w:line="240" w:before="0" w:after="240"/>
        <w:jc w:val="center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V Praze dne 24. dubna 1990</w:t>
      </w:r>
    </w:p>
    <w:tbl>
      <w:tblPr>
        <w:jc w:val="center"/>
        <w:tblInd w:w="0" w:type="dxa"/>
        <w:tblBorders>
          <w:top w:val="single" w:sz="6" w:space="0" w:color="D9D9D9"/>
          <w:left w:val="single" w:sz="6" w:space="0" w:color="D9D9D9"/>
          <w:bottom w:val="single" w:sz="6" w:space="0" w:color="D9D9D9"/>
          <w:insideH w:val="single" w:sz="6" w:space="0" w:color="D9D9D9"/>
          <w:right w:val="single" w:sz="6" w:space="0" w:color="D9D9D9"/>
          <w:insideV w:val="single" w:sz="6" w:space="0" w:color="D9D9D9"/>
        </w:tblBorders>
        <w:tblCellMar>
          <w:top w:w="168" w:type="dxa"/>
          <w:left w:w="256" w:type="dxa"/>
          <w:bottom w:w="168" w:type="dxa"/>
          <w:right w:w="264" w:type="dxa"/>
        </w:tblCellMar>
      </w:tblPr>
      <w:tblGrid>
        <w:gridCol w:w="4605"/>
        <w:gridCol w:w="4604"/>
      </w:tblGrid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prof. JUDr. Pavel PEŠKA, DrSc., v. r.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Ing. Josef HRABAŇ v. r.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ústavně právního výboru ČNR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plán rozpočet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Walter HERRGESELL v. r.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Ing. Václav ANDĚL, CSc., v. r.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národní výbory a národnosti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průmysl a stavebnictví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Ing. Josef MEIER v. r.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František PŘIBYL v. r.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zemědělství a výživu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obchod, služby a dopravu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MUDr. Josef DOMAS v. r.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Ing. Josef VONDRÁČEK v. r.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zdravotního a sociálního výboru ČNR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školství a vědu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Karla POCHOVÁ v. r.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Ing. Pavel KRUBL v. r.</w:t>
            </w:r>
          </w:p>
        </w:tc>
      </w:tr>
      <w:tr>
        <w:trPr>
          <w:cantSplit w:val="false"/>
        </w:trPr>
        <w:tc>
          <w:tcPr>
            <w:tcW w:w="46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předsedkyně výboru ČNR pro kulturu a výchovu</w:t>
            </w:r>
          </w:p>
        </w:tc>
        <w:tc>
          <w:tcPr>
            <w:tcW w:w="46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insideH w:val="single" w:sz="6" w:space="0" w:color="D9D9D9"/>
              <w:right w:val="single" w:sz="6" w:space="0" w:color="D9D9D9"/>
              <w:insideV w:val="single" w:sz="6" w:space="0" w:color="D9D9D9"/>
            </w:tcBorders>
            <w:shd w:fill="auto" w:val="clear"/>
            <w:tcMar>
              <w:left w:w="256" w:type="dxa"/>
            </w:tcMar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předseda výboru ČNR pro životní prostředí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br/>
      </w:r>
    </w:p>
    <w:p>
      <w:pPr>
        <w:pStyle w:val="Normal"/>
        <w:shd w:fill="FFFFFF" w:val="clear"/>
        <w:spacing w:lineRule="auto" w:line="240" w:before="0" w:after="240"/>
        <w:rPr>
          <w:rFonts w:eastAsia="Times New Roman" w:cs="Arial" w:ascii="Arial" w:hAnsi="Arial"/>
          <w:color w:val="000000"/>
          <w:sz w:val="18"/>
          <w:szCs w:val="18"/>
          <w:lang w:eastAsia="cs-CZ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cs-CZ"/>
        </w:rPr>
        <w:t> </w:t>
      </w:r>
    </w:p>
    <w:p>
      <w:pPr>
        <w:pStyle w:val="Normal"/>
        <w:shd w:fill="FFFFFF" w:val="clear"/>
        <w:spacing w:lineRule="atLeast" w:line="540"/>
        <w:rPr>
          <w:rStyle w:val="Internetovodkaz"/>
          <w:rFonts w:eastAsia="Times New Roman" w:cs="Arial" w:ascii="Georgia" w:hAnsi="Georgia"/>
          <w:i/>
          <w:iCs/>
          <w:color w:val="BD292F"/>
          <w:sz w:val="18"/>
          <w:szCs w:val="18"/>
          <w:u w:val="single"/>
          <w:lang w:eastAsia="cs-CZ"/>
        </w:rPr>
      </w:pPr>
      <w:r>
        <w:fldChar w:fldCharType="begin"/>
      </w:r>
      <w:r>
        <w:instrText> HYPERLINK "http://www.psp.cz/eknih/1986cnr/tisky/t0216_00.htm" \l "_h"</w:instrText>
      </w:r>
      <w:r>
        <w:fldChar w:fldCharType="separate"/>
      </w:r>
      <w:r>
        <w:rPr>
          <w:rStyle w:val="Internetovodkaz"/>
          <w:rFonts w:eastAsia="Times New Roman" w:cs="Arial" w:ascii="Georgia" w:hAnsi="Georgia"/>
          <w:i/>
          <w:iCs/>
          <w:color w:val="BD292F"/>
          <w:sz w:val="18"/>
          <w:szCs w:val="18"/>
          <w:u w:val="single"/>
          <w:lang w:eastAsia="cs-CZ"/>
        </w:rPr>
        <w:t>Nahoru</w:t>
      </w:r>
      <w:r>
        <w:fldChar w:fldCharType="end"/>
      </w:r>
    </w:p>
    <w:p>
      <w:pPr>
        <w:pStyle w:val="Normal"/>
        <w:shd w:fill="DFF0FF" w:val="clear"/>
        <w:spacing w:lineRule="atLeast" w:line="240" w:before="0" w:after="0"/>
        <w:outlineLvl w:val="1"/>
        <w:rPr>
          <w:rFonts w:eastAsia="Times New Roman" w:cs="Arial" w:ascii="Georgia" w:hAnsi="Georgia"/>
          <w:color w:val="003EAF"/>
          <w:sz w:val="21"/>
          <w:szCs w:val="21"/>
          <w:lang w:eastAsia="cs-CZ"/>
        </w:rPr>
      </w:pPr>
      <w:r>
        <w:rPr>
          <w:rFonts w:eastAsia="Times New Roman" w:cs="Arial" w:ascii="Georgia" w:hAnsi="Georgia"/>
          <w:color w:val="003EAF"/>
          <w:sz w:val="21"/>
          <w:szCs w:val="21"/>
          <w:lang w:eastAsia="cs-CZ"/>
        </w:rPr>
        <w:t>Související odkazy</w:t>
      </w:r>
    </w:p>
    <w:p>
      <w:pPr>
        <w:pStyle w:val="Normal"/>
        <w:numPr>
          <w:ilvl w:val="0"/>
          <w:numId w:val="1"/>
        </w:numPr>
        <w:shd w:fill="FFFFFF" w:val="clear"/>
        <w:spacing w:lineRule="auto" w:line="240"/>
        <w:ind w:left="10905" w:right="-150" w:hanging="360"/>
        <w:rPr>
          <w:rStyle w:val="Internetovodkaz"/>
          <w:rFonts w:eastAsia="Times New Roman" w:cs="Arial" w:ascii="Arial" w:hAnsi="Arial"/>
          <w:color w:val="3C3C3C"/>
          <w:sz w:val="18"/>
          <w:szCs w:val="18"/>
          <w:u w:val="single"/>
          <w:lang w:eastAsia="cs-CZ"/>
        </w:rPr>
      </w:pPr>
      <w:hyperlink r:id="rId3">
        <w:r>
          <w:rPr>
            <w:rStyle w:val="Internetovodkaz"/>
            <w:rFonts w:eastAsia="Times New Roman" w:cs="Arial" w:ascii="Arial" w:hAnsi="Arial"/>
            <w:color w:val="3C3C3C"/>
            <w:sz w:val="18"/>
            <w:szCs w:val="18"/>
            <w:u w:val="single"/>
            <w:lang w:eastAsia="cs-CZ"/>
          </w:rPr>
          <w:t>tisky</w:t>
        </w:r>
      </w:hyperlink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Garamond" w:hAnsi="Garamond"/>
          <w:sz w:val="24"/>
          <w:szCs w:val="24"/>
        </w:rPr>
      </w:r>
    </w:p>
    <w:p>
      <w:pPr>
        <w:pStyle w:val="Normal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2"/>
    <w:lsdException w:unhideWhenUsed="1" w:semiHidden="1" w:name="Table Web 1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paragraph" w:styleId="Nadpis2">
    <w:name w:val="Nadpis 2"/>
    <w:uiPriority w:val="9"/>
    <w:qFormat/>
    <w:link w:val="Nadpis2Char"/>
    <w:rsid w:val="00950fbb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950fbb"/>
    <w:basedOn w:val="DefaultParagraphFont"/>
    <w:rPr>
      <w:color w:val="0000FF"/>
      <w:u w:val="single"/>
      <w:lang w:val="zxx" w:eastAsia="zxx" w:bidi="zxx"/>
    </w:rPr>
  </w:style>
  <w:style w:type="character" w:styleId="Nadpis2Char" w:customStyle="1">
    <w:name w:val="Nadpis 2 Char"/>
    <w:uiPriority w:val="9"/>
    <w:link w:val="Nadpis2"/>
    <w:rsid w:val="00950fbb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ListLabel1">
    <w:name w:val="ListLabel 1"/>
    <w:rPr>
      <w:sz w:val="20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950fb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nks" w:customStyle="1">
    <w:name w:val="links"/>
    <w:rsid w:val="00950fb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sp.cz/eknih/1986cnr/tisky/t0216_00.htm" TargetMode="External"/><Relationship Id="rId3" Type="http://schemas.openxmlformats.org/officeDocument/2006/relationships/hyperlink" Target="http://www.psp.cz/eknih/1986cnr/tisky/index01.ht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2019-05-05T09:26:00Z</dcterms:created>
  <dc:creator>Klára Samková</dc:creator>
  <dc:language>cs-CZ</dc:language>
  <cp:lastModifiedBy>Klára Samková</cp:lastModifiedBy>
  <dcterms:modified xsi:type="dcterms:W3CDTF">2019-05-05T09:28:00Z</dcterms:modified>
  <cp:revision>1</cp:revision>
</cp:coreProperties>
</file>