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Garamond" w:hAnsi="Garamond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="Times New Roman" w:ascii="Garamond" w:hAnsi="Garamond"/>
          <w:b/>
          <w:bCs/>
          <w:color w:val="000000"/>
          <w:sz w:val="24"/>
          <w:szCs w:val="24"/>
          <w:lang w:eastAsia="cs-CZ"/>
        </w:rPr>
        <w:t xml:space="preserve">K náležitostem kárného rozhodnutí </w:t>
      </w:r>
    </w:p>
    <w:p>
      <w:pPr>
        <w:pStyle w:val="Normal"/>
        <w:shd w:fill="FFFFFF" w:val="clear"/>
        <w:spacing w:lineRule="auto" w:line="240" w:before="0" w:after="0"/>
        <w:rPr>
          <w:rFonts w:ascii="Garamond" w:hAnsi="Garamond"/>
          <w:sz w:val="24"/>
          <w:szCs w:val="24"/>
        </w:rPr>
      </w:pPr>
      <w:r>
        <w:rPr>
          <w:rFonts w:eastAsia="Times New Roman" w:cs="Times New Roman" w:ascii="Garamond" w:hAnsi="Garamond"/>
          <w:color w:val="000000"/>
          <w:sz w:val="24"/>
          <w:szCs w:val="24"/>
          <w:lang w:eastAsia="cs-CZ"/>
        </w:rPr>
        <w:t xml:space="preserve">(z rozsudku MS v Praze sp. zn. </w:t>
      </w:r>
      <w:r>
        <w:rPr>
          <w:rFonts w:ascii="Garamond" w:hAnsi="Garamond"/>
          <w:sz w:val="24"/>
          <w:szCs w:val="24"/>
        </w:rPr>
        <w:t>10 Ad 3/2017 – 42 ze dne 28. 1. 2020 vybíráme to nejdůležitější)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Garamond" w:hAnsi="Garamond"/>
          <w:color w:val="000000"/>
          <w:sz w:val="24"/>
          <w:szCs w:val="24"/>
          <w:lang w:eastAsia="cs-CZ"/>
        </w:rPr>
      </w:pPr>
      <w:r>
        <w:rPr>
          <w:rFonts w:eastAsia="Times New Roman" w:cs="Times New Roman" w:ascii="Garamond" w:hAnsi="Garamond"/>
          <w:color w:val="000000"/>
          <w:sz w:val="24"/>
          <w:szCs w:val="24"/>
          <w:lang w:eastAsia="cs-CZ"/>
        </w:rPr>
      </w:r>
    </w:p>
    <w:p>
      <w:pPr>
        <w:pStyle w:val="Normal"/>
        <w:shd w:fill="FFFFFF" w:val="clear"/>
        <w:spacing w:lineRule="auto" w:line="240" w:before="0" w:after="0"/>
        <w:jc w:val="both"/>
        <w:rPr>
          <w:rFonts w:eastAsia="Times New Roman" w:cs="Times New Roman" w:ascii="Garamond" w:hAnsi="Garamond"/>
          <w:color w:val="000000"/>
          <w:sz w:val="24"/>
          <w:szCs w:val="24"/>
          <w:lang w:eastAsia="cs-CZ"/>
        </w:rPr>
      </w:pPr>
      <w:r>
        <w:rPr>
          <w:rFonts w:eastAsia="Times New Roman" w:cs="Times New Roman" w:ascii="Garamond" w:hAnsi="Garamond"/>
          <w:color w:val="000000"/>
          <w:sz w:val="24"/>
          <w:szCs w:val="24"/>
          <w:lang w:eastAsia="cs-CZ"/>
        </w:rPr>
        <w:t>31. Soud dále podotýká, jak ostatně zdůraznila již žalovaná, že toto kárné provinění má povahu ohrožovací, neboť k naplnění jeho skutkové podstaty postačí jen možnost zvýhodnění klienta v důsledku informací, jimiž advokát disponuje o svém jiném (bývalém či stávajícím) klientovi.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eastAsia="Times New Roman" w:cs="Times New Roman" w:ascii="Garamond" w:hAnsi="Garamond"/>
          <w:color w:val="000000"/>
          <w:sz w:val="24"/>
          <w:szCs w:val="24"/>
          <w:lang w:eastAsia="cs-CZ"/>
        </w:rPr>
      </w:pPr>
      <w:r>
        <w:rPr>
          <w:rFonts w:eastAsia="Times New Roman" w:cs="Times New Roman" w:ascii="Garamond" w:hAnsi="Garamond"/>
          <w:color w:val="000000"/>
          <w:sz w:val="24"/>
          <w:szCs w:val="24"/>
          <w:lang w:eastAsia="cs-CZ"/>
        </w:rPr>
        <w:t>K tomu, aby mohl být advokát shledán vinným tímto kárným proviněním, nepostačí zjištění, že převzal zastoupení klienta ve sporu s (bývalým) klientem, ale musí být specifikováno, jakou konkrétní informací, jež by případně mohla zastupovaného klienta neoprávněně zvýhodnit (resp. druhého z klientů neoprávněně znevýhodnit) disponuje. K námitce žalobkyně se tak soud nejprve zabýval tím, zda ve výroku rozhodnutí kárného senátu, který byl bezezbytku aprobován odvolacím kárným senátem, byly takové konkrétní informace dostatečným způsobem vymezeny.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eastAsia="Times New Roman" w:cs="Times New Roman" w:ascii="Garamond" w:hAnsi="Garamond"/>
          <w:color w:val="000000"/>
          <w:sz w:val="24"/>
          <w:szCs w:val="24"/>
          <w:lang w:eastAsia="cs-CZ"/>
        </w:rPr>
      </w:pPr>
      <w:r>
        <w:rPr>
          <w:rFonts w:eastAsia="Times New Roman" w:cs="Times New Roman" w:ascii="Garamond" w:hAnsi="Garamond"/>
          <w:color w:val="000000"/>
          <w:sz w:val="24"/>
          <w:szCs w:val="24"/>
          <w:lang w:eastAsia="cs-CZ"/>
        </w:rPr>
      </w:r>
    </w:p>
    <w:p>
      <w:pPr>
        <w:pStyle w:val="Normal"/>
        <w:shd w:fill="FFFFFF" w:val="clear"/>
        <w:spacing w:lineRule="auto" w:line="240" w:before="0" w:after="0"/>
        <w:jc w:val="both"/>
        <w:rPr>
          <w:rFonts w:eastAsia="Times New Roman" w:cs="Times New Roman" w:ascii="Garamond" w:hAnsi="Garamond"/>
          <w:color w:val="000000"/>
          <w:sz w:val="24"/>
          <w:szCs w:val="24"/>
          <w:lang w:eastAsia="cs-CZ"/>
        </w:rPr>
      </w:pPr>
      <w:r>
        <w:rPr>
          <w:rFonts w:eastAsia="Times New Roman" w:cs="Times New Roman" w:ascii="Garamond" w:hAnsi="Garamond"/>
          <w:color w:val="000000"/>
          <w:sz w:val="24"/>
          <w:szCs w:val="24"/>
          <w:lang w:eastAsia="cs-CZ"/>
        </w:rPr>
        <w:t>32. K tomu je nutno připomenout, že kárné řízení je řízením deliktním, což se odráží i v požadavcích na vymezení skutku ve výroku kárného rozhodnutí. Nejvyšší správní soud v usnesení rozšířeného senátu ze dne 15. 1. 2008 č. j. 2 As 34/2006–73 konstatoval, že výrok rozhodnutí o správním deliktu musí obsahovat popis skutku uvedením místa, času a způsobu spáchání, popřípadě i uvedením jiných skutečností, jichž je třeba k tomu, aby nemohl být zaměněn s jiným. „Taková míra podrobnosti je jistě nezbytná pro celé sankční řízení, a to zejména pro vyloučení překážky litispendence, dvojího postihu pro týž skutek, pro vyloučení překážky věci rozhodnuté, pro určení rozsahu dokazování a pro zajištění řádného práva na obhajobu“.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Garamond" w:hAnsi="Garamond"/>
          <w:color w:val="000000"/>
          <w:sz w:val="24"/>
          <w:szCs w:val="24"/>
          <w:lang w:eastAsia="cs-CZ"/>
        </w:rPr>
      </w:pPr>
      <w:r>
        <w:rPr>
          <w:rFonts w:eastAsia="Times New Roman" w:cs="Times New Roman" w:ascii="Garamond" w:hAnsi="Garamond"/>
          <w:color w:val="000000"/>
          <w:sz w:val="24"/>
          <w:szCs w:val="24"/>
          <w:lang w:eastAsia="cs-CZ"/>
        </w:rPr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Garamond" w:hAnsi="Garamond"/>
          <w:color w:val="000000"/>
          <w:sz w:val="24"/>
          <w:szCs w:val="24"/>
          <w:shd w:fill="00FFFF" w:val="clear"/>
          <w:lang w:eastAsia="cs-CZ"/>
        </w:rPr>
      </w:pPr>
      <w:r>
        <w:rPr>
          <w:rFonts w:eastAsia="Times New Roman" w:cs="Times New Roman" w:ascii="Garamond" w:hAnsi="Garamond"/>
          <w:color w:val="000000"/>
          <w:sz w:val="24"/>
          <w:szCs w:val="24"/>
          <w:lang w:eastAsia="cs-CZ"/>
        </w:rPr>
        <w:t>33. V návaznosti na takto vytyčený standard popisu skutku Nejvyšší správní soud v rozsudku ze dne 3.11.2015, č.j. 10 Ads 198/2014-41 zdůraznil, že „rozhodnutí o správním deliktu nemá pouze represivní funkci, nýbrž i funkci preventivní. </w:t>
      </w:r>
      <w:r>
        <w:rPr>
          <w:rFonts w:eastAsia="Times New Roman" w:cs="Times New Roman" w:ascii="Garamond" w:hAnsi="Garamond"/>
          <w:color w:val="000000"/>
          <w:sz w:val="24"/>
          <w:szCs w:val="24"/>
          <w:shd w:fill="00FFFF" w:val="clear"/>
          <w:lang w:eastAsia="cs-CZ"/>
        </w:rPr>
        <w:t>Postihovanému subjektu musí být zřejmé, čeho konkrétně se dopustil, jakým</w:t>
      </w:r>
      <w:r>
        <w:rPr>
          <w:rFonts w:eastAsia="Times New Roman" w:cs="Times New Roman" w:ascii="Garamond" w:hAnsi="Garamond"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 w:cs="Times New Roman" w:ascii="Garamond" w:hAnsi="Garamond"/>
          <w:color w:val="000000"/>
          <w:sz w:val="24"/>
          <w:szCs w:val="24"/>
          <w:shd w:fill="00FFFF" w:val="clear"/>
          <w:lang w:eastAsia="cs-CZ"/>
        </w:rPr>
        <w:t>způsobem, v čem je spatřována nebezpečnost jeho činu, aby se napříště mohl podobného jednání vyvarovat.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eastAsia="Times New Roman" w:cs="Times New Roman" w:ascii="Garamond" w:hAnsi="Garamond"/>
          <w:color w:val="000000"/>
          <w:sz w:val="24"/>
          <w:szCs w:val="24"/>
          <w:lang w:eastAsia="cs-CZ"/>
        </w:rPr>
      </w:pPr>
      <w:r>
        <w:rPr>
          <w:rFonts w:eastAsia="Times New Roman" w:cs="Times New Roman" w:ascii="Garamond" w:hAnsi="Garamond"/>
          <w:color w:val="000000"/>
          <w:sz w:val="24"/>
          <w:szCs w:val="24"/>
          <w:lang w:eastAsia="cs-CZ"/>
        </w:rPr>
        <w:t>Rozšířený senát v citovaném rozhodnutí uzavřel, že </w:t>
      </w:r>
      <w:r>
        <w:rPr>
          <w:rFonts w:eastAsia="Times New Roman" w:cs="Times New Roman" w:ascii="Garamond" w:hAnsi="Garamond"/>
          <w:color w:val="000000"/>
          <w:sz w:val="24"/>
          <w:szCs w:val="24"/>
          <w:shd w:fill="00FFFF" w:val="clear"/>
          <w:lang w:eastAsia="cs-CZ"/>
        </w:rPr>
        <w:t>nepostačí, pokud je specifikace skutku uvedena pouze</w:t>
      </w:r>
      <w:r>
        <w:rPr>
          <w:rFonts w:eastAsia="Times New Roman" w:cs="Times New Roman" w:ascii="Garamond" w:hAnsi="Garamond"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 w:cs="Times New Roman" w:ascii="Garamond" w:hAnsi="Garamond"/>
          <w:color w:val="000000"/>
          <w:sz w:val="24"/>
          <w:szCs w:val="24"/>
          <w:shd w:fill="00FFFF" w:val="clear"/>
          <w:lang w:eastAsia="cs-CZ"/>
        </w:rPr>
        <w:t>v odůvodnění správního rozhodnutí.</w:t>
      </w:r>
      <w:r>
        <w:rPr>
          <w:rFonts w:eastAsia="Times New Roman" w:cs="Times New Roman" w:ascii="Garamond" w:hAnsi="Garamond"/>
          <w:color w:val="000000"/>
          <w:sz w:val="24"/>
          <w:szCs w:val="24"/>
          <w:lang w:eastAsia="cs-CZ"/>
        </w:rPr>
        <w:t> Podle rozsudku Nejvyššího správního soudu ze dne 28. 11. 2007, čj. 7 As 7/2007 – 63, je </w:t>
      </w:r>
      <w:r>
        <w:rPr>
          <w:rFonts w:eastAsia="Times New Roman" w:cs="Times New Roman" w:ascii="Garamond" w:hAnsi="Garamond"/>
          <w:color w:val="000000"/>
          <w:sz w:val="24"/>
          <w:szCs w:val="24"/>
          <w:shd w:fill="00FFFF" w:val="clear"/>
          <w:lang w:eastAsia="cs-CZ"/>
        </w:rPr>
        <w:t>výrok rozhodnutí konstitutivní, esenciální, a proto nepominutelnou součástí správního</w:t>
      </w:r>
      <w:r>
        <w:rPr>
          <w:rFonts w:eastAsia="Times New Roman" w:cs="Times New Roman" w:ascii="Garamond" w:hAnsi="Garamond"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 w:cs="Times New Roman" w:ascii="Garamond" w:hAnsi="Garamond"/>
          <w:color w:val="000000"/>
          <w:sz w:val="24"/>
          <w:szCs w:val="24"/>
          <w:shd w:fill="00FFFF" w:val="clear"/>
          <w:lang w:eastAsia="cs-CZ"/>
        </w:rPr>
        <w:t>rozhodnutí. Musí proto být formulován tak, aby z něj bylo zcela jednoznačně patrno, jakého správního deliktu se</w:t>
      </w:r>
      <w:r>
        <w:rPr>
          <w:rFonts w:eastAsia="Times New Roman" w:cs="Times New Roman" w:ascii="Garamond" w:hAnsi="Garamond"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 w:cs="Times New Roman" w:ascii="Garamond" w:hAnsi="Garamond"/>
          <w:color w:val="000000"/>
          <w:sz w:val="24"/>
          <w:szCs w:val="24"/>
          <w:shd w:fill="00FFFF" w:val="clear"/>
          <w:lang w:eastAsia="cs-CZ"/>
        </w:rPr>
        <w:t>stěžovatel dopustil, jakým jednáním, a podle jakého ustanovení zákona mu byla stanovena správní sankce</w:t>
      </w:r>
      <w:r>
        <w:rPr>
          <w:rFonts w:eastAsia="Times New Roman" w:cs="Times New Roman" w:ascii="Garamond" w:hAnsi="Garamond"/>
          <w:color w:val="000000"/>
          <w:sz w:val="24"/>
          <w:szCs w:val="24"/>
          <w:lang w:eastAsia="cs-CZ"/>
        </w:rPr>
        <w:t>“.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Garamond" w:hAnsi="Garamond"/>
          <w:color w:val="000000"/>
          <w:sz w:val="24"/>
          <w:szCs w:val="24"/>
          <w:lang w:eastAsia="cs-CZ"/>
        </w:rPr>
      </w:pPr>
      <w:r>
        <w:rPr>
          <w:rFonts w:eastAsia="Times New Roman" w:cs="Times New Roman" w:ascii="Garamond" w:hAnsi="Garamond"/>
          <w:color w:val="000000"/>
          <w:sz w:val="24"/>
          <w:szCs w:val="24"/>
          <w:lang w:eastAsia="cs-CZ"/>
        </w:rPr>
      </w:r>
    </w:p>
    <w:p>
      <w:pPr>
        <w:pStyle w:val="Normal"/>
        <w:shd w:fill="FFFFFF" w:val="clear"/>
        <w:spacing w:lineRule="auto" w:line="240" w:before="0" w:after="0"/>
        <w:jc w:val="both"/>
        <w:rPr>
          <w:rFonts w:eastAsia="Times New Roman" w:cs="Times New Roman" w:ascii="Garamond" w:hAnsi="Garamond"/>
          <w:color w:val="000000"/>
          <w:sz w:val="24"/>
          <w:szCs w:val="24"/>
          <w:lang w:eastAsia="cs-CZ"/>
        </w:rPr>
      </w:pPr>
      <w:r>
        <w:rPr>
          <w:rFonts w:eastAsia="Times New Roman" w:cs="Times New Roman" w:ascii="Garamond" w:hAnsi="Garamond"/>
          <w:color w:val="000000"/>
          <w:sz w:val="24"/>
          <w:szCs w:val="24"/>
          <w:lang w:eastAsia="cs-CZ"/>
        </w:rPr>
        <w:t>34. Skutek ve výroku rozhodnutí kárného senátu je vymezen konkrétním vymezením řízení, v nichž žalobkyně stěžovatele zastupovala (délka řízení, soud, spisová značka a typ řízení) a z nichž měla žalobkyně získat o stěžovateli „řadu informací zejména o jeho majetkových a výdělkových poměrech, o jeho podnikatelských aktivitách a osobních vztazích“. Jakkoli si lze představit ještě podrobnější vymezení popisu skutku (např. uvedením, o jaké konkrétní pohledávky stěžovatele se v řízeních jednalo, toho, že se jednalo o pohledávky z podnikatelské činnosti stěžovatele, s jakým výsledkem řízení skončilo), soud má za to, že tímto způsobem vymezený okruh informací, s nimiž byla žalobkyně obeznámena, obstojí. Z výroku rozhodnutí kárného senátu je totiž zřejmé, že se jednalo o souhrn informací, které žalobkyně získala v průběhu poskytování právních služeb stěžovateli v konkrétně (věcně a časově) specifikovaných řízeních, přičemž již z povahy těchto řízení (nalézací a exekuční), jež jsou blíže specifikovány v odůvodnění napadeného rozhodnutí, nelze pochybovat o tom, že žalobkyně získala informaci alespoň o dílčí části majetkových poměrů stěžovatele.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Garamond" w:hAnsi="Garamond"/>
          <w:color w:val="000000"/>
          <w:sz w:val="24"/>
          <w:szCs w:val="24"/>
          <w:lang w:eastAsia="cs-CZ"/>
        </w:rPr>
      </w:pPr>
      <w:r>
        <w:rPr>
          <w:rFonts w:eastAsia="Times New Roman" w:cs="Times New Roman" w:ascii="Garamond" w:hAnsi="Garamond"/>
          <w:color w:val="000000"/>
          <w:sz w:val="24"/>
          <w:szCs w:val="24"/>
          <w:lang w:eastAsia="cs-CZ"/>
        </w:rPr>
      </w:r>
    </w:p>
    <w:p>
      <w:pPr>
        <w:pStyle w:val="Normal"/>
        <w:shd w:fill="FFFFFF" w:val="clear"/>
        <w:spacing w:lineRule="auto" w:line="240" w:before="0" w:after="0"/>
        <w:jc w:val="both"/>
        <w:rPr>
          <w:rFonts w:eastAsia="Times New Roman" w:cs="Times New Roman" w:ascii="Garamond" w:hAnsi="Garamond"/>
          <w:color w:val="000000"/>
          <w:sz w:val="24"/>
          <w:szCs w:val="24"/>
          <w:lang w:eastAsia="cs-CZ"/>
        </w:rPr>
      </w:pPr>
      <w:r>
        <w:rPr>
          <w:rFonts w:eastAsia="Times New Roman" w:cs="Times New Roman" w:ascii="Garamond" w:hAnsi="Garamond"/>
          <w:color w:val="000000"/>
          <w:sz w:val="24"/>
          <w:szCs w:val="24"/>
          <w:lang w:eastAsia="cs-CZ"/>
        </w:rPr>
        <w:t>35. Soud tedy dospěl k závěru, že výrok rozhodnutí kárného senátu v části týkající se vymezení „informace, kterou žalobkyně měla o svém klientovi“, obstojí, neboť tato část výroku je dostatečně konkretizována prostřednictvím jednotlivých řízení, v nichž žalobkyně stěžovateli poskytovala právní služby. Pro závěr o tom, zda žalobkyně porušila povinnost vymezenou v § 19 odst. 1 písm. c) zákona o advokacii, totiž není podstatné, o jaké konkrétní částky (pohledávky) stěžovatel (a s jakým úspěchem) usiloval, podstatná je skutečnost, že povaha těchto řízení (byť se mohlo jednat o spory jednoduché) umožnila žalobkyni jako právní zástupkyni stěžovatele (byť jen v dílčí části) nahlédnout na majetkové poměry stěžovatele, resp. seznámit se s některými okolnostmi jeho podnikatelské činnosti.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Calibri" w:ascii="Garamond" w:hAnsi="Garamond"/>
          <w:color w:val="000000"/>
          <w:sz w:val="24"/>
          <w:szCs w:val="24"/>
          <w:lang w:eastAsia="cs-CZ"/>
        </w:rPr>
      </w:pPr>
      <w:r>
        <w:rPr>
          <w:rFonts w:eastAsia="Times New Roman" w:cs="Calibri" w:ascii="Garamond" w:hAnsi="Garamond"/>
          <w:color w:val="000000"/>
          <w:sz w:val="24"/>
          <w:szCs w:val="24"/>
          <w:lang w:eastAsia="cs-CZ"/>
        </w:rPr>
        <w:t> </w:t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Garamond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cs-CZ" w:eastAsia="en-US" w:bidi="ar-SA"/>
      </w:rPr>
    </w:rPrDefault>
    <w:pPrDefault>
      <w:pPr>
        <w:spacing w:lineRule="auto" w:line="259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 Fallback" w:cs="Calibr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FreeSans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FreeSans"/>
    </w:rPr>
  </w:style>
  <w:style w:type="paragraph" w:styleId="NormalWeb">
    <w:name w:val="Normal (Web)"/>
    <w:uiPriority w:val="99"/>
    <w:semiHidden/>
    <w:unhideWhenUsed/>
    <w:rsid w:val="00901df9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2021-02-18T07:10:00Z</dcterms:created>
  <dc:creator>Klára Samková</dc:creator>
  <dc:language>cs-CZ</dc:language>
  <cp:lastModifiedBy>Klára Samková</cp:lastModifiedBy>
  <dcterms:modified xsi:type="dcterms:W3CDTF">2021-02-18T11:10:00Z</dcterms:modified>
  <cp:revision>3</cp:revision>
</cp:coreProperties>
</file>